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dpis1"/>
        <w:numPr>
          <w:ilvl w:val="0"/>
          <w:numId w:val="3"/>
        </w:numPr>
        <w:spacing w:before="0" w:after="119"/>
        <w:rPr/>
      </w:pPr>
      <w:r>
        <w:rPr>
          <w:szCs w:val="32"/>
        </w:rPr>
        <w:t>Příloha č. 6 Součinnost</w:t>
      </w:r>
    </w:p>
    <w:p>
      <w:pPr>
        <w:pStyle w:val="Nadpis2"/>
        <w:numPr>
          <w:ilvl w:val="1"/>
          <w:numId w:val="3"/>
        </w:numPr>
        <w:rPr/>
      </w:pPr>
      <w:r>
        <w:rPr/>
        <w:t>A. Součinnost navázaná na životní cyklus implementace EIS</w:t>
      </w:r>
    </w:p>
    <w:tbl>
      <w:tblPr>
        <w:tblW w:w="9638" w:type="dxa"/>
        <w:jc w:val="left"/>
        <w:tblInd w:w="0" w:type="dxa"/>
        <w:tblCellMar>
          <w:top w:w="0" w:type="dxa"/>
          <w:left w:w="9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246"/>
        <w:gridCol w:w="2721"/>
        <w:gridCol w:w="5671"/>
      </w:tblGrid>
      <w:tr>
        <w:trPr>
          <w:tblHeader w:val="true"/>
          <w:trHeight w:val="340" w:hRule="atLeast"/>
          <w:cantSplit w:val="true"/>
        </w:trPr>
        <w:tc>
          <w:tcPr>
            <w:tcW w:w="12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  <w:vAlign w:val="bottom"/>
          </w:tcPr>
          <w:p>
            <w:pPr>
              <w:pStyle w:val="Normal"/>
              <w:jc w:val="center"/>
              <w:rPr>
                <w:rFonts w:ascii="Calibri" w:hAnsi="Calibri" w:eastAsia="Times New Roman" w:cs="Arial"/>
                <w:b/>
                <w:b/>
                <w:bCs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b/>
                <w:bCs/>
                <w:szCs w:val="22"/>
                <w:lang w:eastAsia="en-US" w:bidi="ar-SA"/>
              </w:rPr>
              <w:t>Etapa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  <w:vAlign w:val="bottom"/>
          </w:tcPr>
          <w:p>
            <w:pPr>
              <w:pStyle w:val="Normal"/>
              <w:rPr>
                <w:rFonts w:ascii="Calibri" w:hAnsi="Calibri" w:eastAsia="Times New Roman" w:cs="Arial"/>
                <w:b/>
                <w:b/>
                <w:bCs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b/>
                <w:bCs/>
                <w:szCs w:val="22"/>
                <w:lang w:eastAsia="en-US" w:bidi="ar-SA"/>
              </w:rPr>
              <w:t>Klíčové činnosti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  <w:vAlign w:val="bottom"/>
          </w:tcPr>
          <w:p>
            <w:pPr>
              <w:pStyle w:val="Normal"/>
              <w:rPr>
                <w:rFonts w:ascii="Calibri" w:hAnsi="Calibri" w:eastAsia="Times New Roman" w:cs="Arial"/>
                <w:b/>
                <w:b/>
                <w:bCs/>
                <w:color w:val="00000A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b/>
                <w:bCs/>
                <w:color w:val="00000A"/>
                <w:szCs w:val="22"/>
                <w:lang w:eastAsia="en-US" w:bidi="ar-SA"/>
              </w:rPr>
              <w:t>Součinnost</w:t>
            </w:r>
          </w:p>
        </w:tc>
      </w:tr>
      <w:tr>
        <w:trPr>
          <w:cantSplit w:val="true"/>
        </w:trPr>
        <w:tc>
          <w:tcPr>
            <w:tcW w:w="3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>
                <w:rFonts w:ascii="Calibri" w:hAnsi="Calibri" w:eastAsia="Times New Roman" w:cs="Arial"/>
                <w:b/>
                <w:b/>
                <w:bCs/>
                <w:color w:val="C0504D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b/>
                <w:bCs/>
                <w:color w:val="C0504D"/>
                <w:szCs w:val="22"/>
                <w:lang w:eastAsia="en-US" w:bidi="ar-SA"/>
              </w:rPr>
              <w:t>Zahájení plnění předmětu smlouvy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Podpis smluv osobou oprávněnou jednat ve věcech smluvních za stranu Objednatele.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 xml:space="preserve">Stanovení osoby odpovědné jednat ve věcech technických (tj. vedoucího projektu za Objednatele). </w:t>
            </w:r>
          </w:p>
        </w:tc>
      </w:tr>
      <w:tr>
        <w:trPr>
          <w:cantSplit w:val="true"/>
        </w:trPr>
        <w:tc>
          <w:tcPr>
            <w:tcW w:w="1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>
                <w:rFonts w:ascii="Calibri" w:hAnsi="Calibri" w:eastAsia="Times New Roman" w:cs="Arial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1. Prototyp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1.1 Iniciace (definice) projektu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Jmenování členů týmů za stranu Objednatele (řídící komise, vedení projektu, pracovní týmy).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Poskytnutí údajů do komunikační matice.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Účast na schůzkách vedení projektu a řídícího výboru.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1.2. Zpracování Technické studie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Upřesnění hardwarové infrastruktury poskytované Objednatelem.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Upřesnění požadavků na migraci dat a jejich formát.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1.3. Příprava prototypu systému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1.4. Předvedení funkčnosti demonstračními testy systému provedenými Dodavatelem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Účast max. 12 klíčových uživatelů na demonstračních testech.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Potvrzení funkčnosti testovaných částí systému osobou odpovědnou jednat ve věcech technických - vedoucím projektu za Objednatele.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1.5. Proškolení klíčových uživatelů na práci s prototypem standardu systému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Účast max. 12 klíčových uživatelů na školení.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color w:val="C0504D"/>
                <w:szCs w:val="22"/>
                <w:lang w:eastAsia="en-US" w:bidi="ar-SA"/>
              </w:rPr>
              <w:t>1.6. Akceptace etapy prototypu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Doporučení vedoucího projektu za Objednatele k akceptaci etapy.</w:t>
            </w:r>
          </w:p>
          <w:p>
            <w:pPr>
              <w:pStyle w:val="Normal"/>
              <w:rPr/>
            </w:pPr>
            <w:bookmarkStart w:id="0" w:name="__DdeLink__28049_2894081782"/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Akceptace osobou odpovědnou jednat ve věcech smluvních.</w:t>
            </w:r>
            <w:bookmarkEnd w:id="0"/>
          </w:p>
        </w:tc>
      </w:tr>
      <w:tr>
        <w:trPr>
          <w:cantSplit w:val="true"/>
        </w:trPr>
        <w:tc>
          <w:tcPr>
            <w:tcW w:w="1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>
                <w:rFonts w:ascii="Calibri" w:hAnsi="Calibri" w:eastAsia="Times New Roman" w:cs="Arial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2. Návrh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2.1. Analýza impl. požadavků na úpravy a doplnění prototypu za všechny oblasti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Účast na analytických schůzkách.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Kontrola úplnosti a správnosti zápisů ze schůzek.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2.2. Detailní návrh (návrh řešení implementačních požadavků)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Kontrola úplnosti a správnosti Detailního návrhu vůči zápisům ze schůzek.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color w:val="C0504D"/>
                <w:szCs w:val="22"/>
                <w:lang w:eastAsia="en-US" w:bidi="ar-SA"/>
              </w:rPr>
              <w:t>2.3. Akceptace etapy návrhu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Doporučení vedoucího projektu za Objednatele k akceptaci etapy.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Akceptace osobou odpovědnou jednat ve věcech smluvních.</w:t>
            </w:r>
          </w:p>
        </w:tc>
      </w:tr>
      <w:tr>
        <w:trPr>
          <w:cantSplit w:val="true"/>
        </w:trPr>
        <w:tc>
          <w:tcPr>
            <w:tcW w:w="1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>
                <w:rFonts w:ascii="Calibri" w:hAnsi="Calibri" w:eastAsia="Times New Roman" w:cs="Arial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 Imple-mentace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3.1. Realizace Detailního návrhu Dodavatelem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Konzultace parametrů technického prostředí.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3.2. Vytvoření testovací a ostré produktivní hardwarové infrastruktury Objednatelem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Nastavení hardwarové infrastruktury dle požadavků dohodnutých v Technické studii.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 xml:space="preserve">3.3. Předvedení funkčnosti základními testy systému provedenými </w:t>
            </w:r>
            <w:r>
              <w:rPr>
                <w:rFonts w:eastAsia="Times New Roman" w:cs="Times New Roman" w:ascii="Calibri" w:hAnsi="Calibri"/>
                <w:szCs w:val="22"/>
                <w:lang w:eastAsia="en-US" w:bidi="ar-SA"/>
              </w:rPr>
              <w:t>Dodavatelem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Uvolnění technické infrastruktury pro instalaci systému do testovacího prostředí.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Předání vzorků testovacích dat.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Účast klíčových uživatelů na základních (jednotkových) testech.</w:t>
            </w:r>
          </w:p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Potvrzení funkčnosti testovaných částí systému.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3.4. Navržení katalogu servisních služeb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Kontrola úplnosti a správnosti Katalogu služeb vůči servisní smlouvě.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3.5. Zpracování uživatelské a systémové příručky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Kontrola obsahu příruček klíčovými uživateli.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3.6. Školení uživatelů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Účast uživatelů na školení - 12 uživatelů na mzdový a ekonomický subsystém, 30 uživatelů na ekonomický subsystém a veškeré další subsystémy, které tvoří EKIS.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3.7. Integrační testy systému provedené klíčovými uživateli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Provedení testů klíčovými uživateli s vyznačením výsledku testů.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ascii="Calibri" w:hAnsi="Calibri"/>
                <w:szCs w:val="22"/>
              </w:rPr>
              <w:t>3.8. Migrace dat (mzdy a personalistika)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Uvolnění technické infrastruktury pro instalaci systému do ostrého prostředí.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Předání mzdových a personálních dat k migraci v dohodnutém formátu a struktuře.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ascii="Calibri" w:hAnsi="Calibri"/>
                <w:color w:val="000000"/>
                <w:szCs w:val="22"/>
              </w:rPr>
              <w:t>3.9. Ověřovací provoz mezd a personalistiky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Předávání požadavků na odstranění vad a nedodělků.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3.10. Migrace dat základní (EIS mimo mezd a personalistiky)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Uvolnění technické infrastruktury pro instalaci systému do ostrého (tj. produktivního) prostředí.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Předání ekonomických dat k migraci v dohodnutém formátu a struktuře.</w:t>
            </w:r>
          </w:p>
        </w:tc>
      </w:tr>
      <w:tr>
        <w:trPr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DDDDDD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color w:val="C0504D"/>
                <w:szCs w:val="22"/>
                <w:lang w:eastAsia="en-US" w:bidi="ar-SA"/>
              </w:rPr>
              <w:t>3.11. Akceptace etapy implementace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Doporučení vedoucího projektu za Objednatele k akceptaci etapy.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Akceptace osobou odpovědnou jednat ve věcech smluvních.</w:t>
            </w:r>
          </w:p>
        </w:tc>
      </w:tr>
      <w:tr>
        <w:trPr>
          <w:trHeight w:val="800" w:hRule="atLeast"/>
          <w:cantSplit w:val="true"/>
        </w:trPr>
        <w:tc>
          <w:tcPr>
            <w:tcW w:w="1246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>
                <w:rFonts w:ascii="Calibri" w:hAnsi="Calibri" w:eastAsia="Times New Roman" w:cs="Arial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4. Imple-mentační dozor</w:t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4.1. Zahájení ostrého provozu systému, nabytí licencí, zahájení poskytování servisních služeb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Rozhodnutí o zahájení ostrého provozu na základě výsledku akceptace etapy implementace.</w:t>
            </w:r>
          </w:p>
        </w:tc>
      </w:tr>
      <w:tr>
        <w:trPr>
          <w:trHeight w:val="540" w:hRule="atLeast"/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4.2. Domigrování všech dat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Předání dat k automatické migraci případně ruční doplnění vybraných dat.</w:t>
            </w:r>
          </w:p>
        </w:tc>
      </w:tr>
      <w:tr>
        <w:trPr>
          <w:trHeight w:val="340" w:hRule="atLeast"/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 xml:space="preserve">4.3. Ostrý provoz s implementačním dozorem </w:t>
            </w:r>
            <w:r>
              <w:rPr>
                <w:rFonts w:eastAsia="Times New Roman" w:cs="Times New Roman" w:ascii="Calibri" w:hAnsi="Calibri"/>
                <w:szCs w:val="22"/>
                <w:lang w:eastAsia="en-US" w:bidi="ar-SA"/>
              </w:rPr>
              <w:t>Dodavatele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Zadávání požadavků na odstranění provozních vad a nedodělků.</w:t>
            </w:r>
          </w:p>
        </w:tc>
      </w:tr>
      <w:tr>
        <w:trPr>
          <w:trHeight w:val="340" w:hRule="atLeast"/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szCs w:val="22"/>
                <w:lang w:eastAsia="en-US" w:bidi="ar-SA"/>
              </w:rPr>
              <w:t>4.4. Zpráva Dodavatele o odstranění případných provozních vad a nedodělků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Kontrola souladu zprávy se zadanými požadavky.</w:t>
            </w:r>
          </w:p>
        </w:tc>
      </w:tr>
      <w:tr>
        <w:trPr>
          <w:trHeight w:val="540" w:hRule="atLeast"/>
          <w:cantSplit w:val="true"/>
        </w:trPr>
        <w:tc>
          <w:tcPr>
            <w:tcW w:w="1246" w:type="dxa"/>
            <w:vMerge w:val="continue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FFFF99" w:val="clea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27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Times New Roman" w:cs="Arial" w:ascii="Calibri" w:hAnsi="Calibri"/>
                <w:color w:val="C0504D"/>
                <w:szCs w:val="22"/>
                <w:lang w:eastAsia="en-US" w:bidi="ar-SA"/>
              </w:rPr>
              <w:t>4.5. Akceptace etapy implementačního dozoru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>
                <w:rFonts w:ascii="Calibri" w:hAnsi="Calibri" w:eastAsia="Arial Unicode MS" w:cs="Arial Unicode MS"/>
                <w:color w:val="00000A"/>
                <w:szCs w:val="22"/>
              </w:rPr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Doporučení vedoucího projektu za Objednatele k akceptaci etapy.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Akceptace osobou odpovědnou jednat ve věcech smluvních.</w:t>
            </w:r>
          </w:p>
        </w:tc>
      </w:tr>
      <w:tr>
        <w:trPr>
          <w:trHeight w:val="540" w:hRule="atLeast"/>
          <w:cantSplit w:val="true"/>
        </w:trPr>
        <w:tc>
          <w:tcPr>
            <w:tcW w:w="396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jc w:val="center"/>
              <w:rPr/>
            </w:pPr>
            <w:r>
              <w:rPr>
                <w:rFonts w:eastAsia="Times New Roman" w:cs="Arial" w:ascii="Calibri" w:hAnsi="Calibri"/>
                <w:b/>
                <w:bCs/>
                <w:color w:val="C0504D"/>
                <w:szCs w:val="22"/>
                <w:lang w:eastAsia="en-US" w:bidi="ar-SA"/>
              </w:rPr>
              <w:t>Akceptace Díla jako celku</w:t>
            </w:r>
          </w:p>
          <w:p>
            <w:pPr>
              <w:pStyle w:val="Normal"/>
              <w:rPr>
                <w:rFonts w:ascii="Calibri" w:hAnsi="Calibri" w:eastAsia="Times New Roman" w:cs="Arial"/>
                <w:b/>
                <w:b/>
                <w:bCs/>
                <w:color w:val="C0504D"/>
                <w:szCs w:val="22"/>
                <w:lang w:eastAsia="en-US" w:bidi="ar-SA"/>
              </w:rPr>
            </w:pPr>
            <w:r>
              <w:rPr>
                <w:rFonts w:eastAsia="Times New Roman" w:cs="Arial" w:ascii="Calibri" w:hAnsi="Calibri"/>
                <w:b/>
                <w:bCs/>
                <w:color w:val="C0504D"/>
                <w:szCs w:val="22"/>
                <w:lang w:eastAsia="en-US" w:bidi="ar-SA"/>
              </w:rPr>
              <w:t xml:space="preserve">                          </w:t>
            </w:r>
          </w:p>
        </w:tc>
        <w:tc>
          <w:tcPr>
            <w:tcW w:w="567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Doporučení vedoucího projektu za Objednatele k akceptaci díla jako celku.</w:t>
            </w:r>
          </w:p>
          <w:p>
            <w:pPr>
              <w:pStyle w:val="Normal"/>
              <w:rPr/>
            </w:pPr>
            <w:r>
              <w:rPr>
                <w:rFonts w:eastAsia="Arial Unicode MS" w:cs="Arial Unicode MS" w:ascii="Calibri" w:hAnsi="Calibri"/>
                <w:color w:val="00000A"/>
                <w:szCs w:val="22"/>
              </w:rPr>
              <w:t>Akceptace osobou odpovědnou jednat ve věcech smluvních.</w:t>
            </w:r>
            <w:bookmarkStart w:id="1" w:name="_GoBack"/>
            <w:bookmarkEnd w:id="1"/>
          </w:p>
        </w:tc>
      </w:tr>
    </w:tbl>
    <w:p>
      <w:pPr>
        <w:pStyle w:val="Nadpis2"/>
        <w:numPr>
          <w:ilvl w:val="1"/>
          <w:numId w:val="3"/>
        </w:numPr>
        <w:rPr/>
      </w:pPr>
      <w:r>
        <w:rPr/>
        <w:t xml:space="preserve">B. </w:t>
      </w:r>
      <w:bookmarkStart w:id="2" w:name="__DdeLink__2598_1717062050"/>
      <w:r>
        <w:rPr/>
        <w:t>Technická infrastruktura</w:t>
      </w:r>
      <w:bookmarkEnd w:id="2"/>
    </w:p>
    <w:p>
      <w:pPr>
        <w:pStyle w:val="Normal"/>
        <w:rPr/>
      </w:pPr>
      <w:r>
        <w:rPr/>
        <w:t xml:space="preserve">Objednatel v rámci součinnosti připraví hardwarovou infrastrukturu potřebnou pro provoz Ekonomického informačního systému. K tomuto účelu Dodavatel navrhne konfiguraci hardwarové infrastruktury v rámci zpracování plnění etapy č.1 - </w:t>
      </w:r>
      <w:r>
        <w:rPr>
          <w:i/>
          <w:iCs/>
        </w:rPr>
        <w:t>Prototyp</w:t>
      </w:r>
      <w:r>
        <w:rPr/>
        <w:t xml:space="preserve"> v dokumentu Technická studie. </w:t>
      </w:r>
      <w:r>
        <w:rPr>
          <w:b/>
          <w:bCs/>
        </w:rPr>
        <w:t>Dodavatel se zavazuje při zpracování Technické studie v maximální možné míře vycházet z disponibilní (tj. stávající výchozí) hardwarové infrastruktury Objednatele popsané níže v textu a Objednatel se zavazuje infrastrukturu upravit tak, aby byla připravena pro provoz Ekonomického informačního systému podle oprávněných požadavků Dodavatele.</w:t>
      </w:r>
      <w:r>
        <w:rPr/>
        <w:t xml:space="preserve"> Oprávněnými požadavky Dodavatele se rozumí takové požadavky na konfiguraci, změny či rozšíření disponibilní infrastruktury Objednatele, které jsou nezbytné pro řádný provoz implementovaného Ekonomického informačního systému.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Fyzikální ústav Akademie věd ČR, v. v. i. má pro provoz informačního systému k dispozici hardwa-rovou infrastrukturu umístěnou a provozovanou ve Středisku společných činností AV ČR, v. v. i. (SSČ).</w:t>
      </w:r>
    </w:p>
    <w:p>
      <w:pPr>
        <w:pStyle w:val="Normal"/>
        <w:rPr/>
      </w:pPr>
      <w:r>
        <w:rPr/>
        <w:t xml:space="preserve">Současná infrastruktura je navržena pro systém splňující třívrstvou architekturu (oddělená databázová, aplikační a prezentační vrstva). Splnění této architektury není na Dodavateli požadováno a níže </w:t>
      </w:r>
      <w:r>
        <w:rPr>
          <w:b/>
          <w:bCs/>
        </w:rPr>
        <w:t>uvedený popis slouží k ilustraci výchozího infrastrukturního prostředí Objednatele, které bude upraveno podle návrhu Dodavatele provedeného v rámci Technické studie</w:t>
      </w:r>
      <w:r>
        <w:rPr/>
        <w:t xml:space="preserve">. </w:t>
      </w:r>
    </w:p>
    <w:p>
      <w:pPr>
        <w:pStyle w:val="Nadpis3"/>
        <w:numPr>
          <w:ilvl w:val="2"/>
          <w:numId w:val="3"/>
        </w:numPr>
        <w:rPr/>
      </w:pPr>
      <w:r>
        <w:rPr/>
        <w:t>Současná výchozí infrastruktura Objednatele</w:t>
      </w:r>
    </w:p>
    <w:p>
      <w:pPr>
        <w:pStyle w:val="Normal"/>
        <w:rPr/>
      </w:pPr>
      <w:r>
        <w:rPr/>
        <w:t>HW infrastruktura SSČ pro provoz EIS se skládá ze dvou uzlů:</w:t>
      </w:r>
    </w:p>
    <w:p>
      <w:pPr>
        <w:pStyle w:val="ListParagraph"/>
        <w:numPr>
          <w:ilvl w:val="0"/>
          <w:numId w:val="5"/>
        </w:numPr>
        <w:rPr/>
      </w:pPr>
      <w:r>
        <w:rPr>
          <w:u w:val="single"/>
        </w:rPr>
        <w:t>Primární uzel</w:t>
      </w:r>
      <w:r>
        <w:rPr/>
        <w:t xml:space="preserve">  (produkční uzel) je prostředí, které se aktivně používá pro ostrý provoz EIS konkrétního pracoviště.</w:t>
      </w:r>
    </w:p>
    <w:p>
      <w:pPr>
        <w:pStyle w:val="ListParagraph"/>
        <w:numPr>
          <w:ilvl w:val="0"/>
          <w:numId w:val="5"/>
        </w:numPr>
        <w:rPr/>
      </w:pPr>
      <w:r>
        <w:rPr>
          <w:u w:val="single"/>
        </w:rPr>
        <w:t>Sekundární uzel</w:t>
      </w:r>
      <w:r>
        <w:rPr/>
        <w:t xml:space="preserve"> (záložní uzel) je HW infrastruktura, do které probíhá zálohování primárního uzlu a je připravena k přepnutí ostrého provozu v případě výpadku primárního uzlu.</w:t>
      </w:r>
    </w:p>
    <w:p>
      <w:pPr>
        <w:pStyle w:val="Nadpis4"/>
        <w:numPr>
          <w:ilvl w:val="3"/>
          <w:numId w:val="2"/>
        </w:numPr>
        <w:rPr/>
      </w:pPr>
      <w:r>
        <w:rPr/>
        <w:t>Serverovny</w:t>
      </w:r>
    </w:p>
    <w:p>
      <w:pPr>
        <w:pStyle w:val="Normal"/>
        <w:rPr/>
      </w:pPr>
      <w:r>
        <w:rPr/>
        <w:t>SSČ provozuje servery v následujících lokalitách:</w:t>
      </w:r>
    </w:p>
    <w:p>
      <w:pPr>
        <w:pStyle w:val="Normal"/>
        <w:rPr/>
      </w:pPr>
      <w:r>
        <w:rPr/>
        <w:t>Primární lokalita – serverovna Mazanka, Za Vodárnou 1, Praha 8.</w:t>
      </w:r>
    </w:p>
    <w:p>
      <w:pPr>
        <w:pStyle w:val="Normal"/>
        <w:rPr/>
      </w:pPr>
      <w:r>
        <w:rPr/>
        <w:t>Záložní lokalita – serverovna UTIA, Pod Vodárenskou věží 4, Praha 8.</w:t>
      </w:r>
    </w:p>
    <w:p>
      <w:pPr>
        <w:pStyle w:val="Nadpis4"/>
        <w:numPr>
          <w:ilvl w:val="3"/>
          <w:numId w:val="2"/>
        </w:numPr>
        <w:rPr/>
      </w:pPr>
      <w:r>
        <w:rPr/>
        <w:t>Zajištění nepřetržitého provozu serveroven</w:t>
      </w:r>
    </w:p>
    <w:p>
      <w:pPr>
        <w:pStyle w:val="Normal"/>
        <w:rPr/>
      </w:pPr>
      <w:r>
        <w:rPr/>
        <w:t>Nepřetržitá dodávka elektrického proudu je zajištěna dvěma nezávislými větvemi. Jedna větev je vždy jištěna UPS a diesel agregátem.</w:t>
      </w:r>
      <w:bookmarkStart w:id="3" w:name="_GoBack1"/>
      <w:bookmarkEnd w:id="3"/>
    </w:p>
    <w:p>
      <w:pPr>
        <w:pStyle w:val="Normal"/>
        <w:rPr/>
      </w:pPr>
      <w:r>
        <w:rPr/>
        <w:t>Chlazení serveroven je zabezpečeno dvěma nezávislými klimatizačními okruhy.</w:t>
      </w:r>
    </w:p>
    <w:p>
      <w:pPr>
        <w:pStyle w:val="Normal"/>
        <w:rPr/>
      </w:pPr>
      <w:r>
        <w:rPr/>
        <w:t>Serverovny jsou dále zabezpečeny EZS, EPS, kamerovým systémem a kontrolou přístupů.</w:t>
      </w:r>
    </w:p>
    <w:p>
      <w:pPr>
        <w:pStyle w:val="Nadpis4"/>
        <w:numPr>
          <w:ilvl w:val="3"/>
          <w:numId w:val="2"/>
        </w:numPr>
        <w:rPr/>
      </w:pPr>
      <w:r>
        <w:rPr/>
        <w:t>Serverová infrastruktura</w:t>
      </w:r>
    </w:p>
    <w:p>
      <w:pPr>
        <w:pStyle w:val="Normal"/>
        <w:rPr/>
      </w:pPr>
      <w:r>
        <w:rPr/>
        <w:t>Serverová infrastruktura je postavená na blade řešení od společnosti IBM (BladeCentrum H) a Cisco (UCS Mini), kde jsou veškeré kritické komponenty redundantní a splňují specifikaci vysoké dostupnosti (HA).</w:t>
      </w:r>
    </w:p>
    <w:p>
      <w:pPr>
        <w:pStyle w:val="Nadpis4"/>
        <w:numPr>
          <w:ilvl w:val="3"/>
          <w:numId w:val="2"/>
        </w:numPr>
        <w:rPr/>
      </w:pPr>
      <w:r>
        <w:rPr/>
        <w:t>Diskové úložiště</w:t>
      </w:r>
    </w:p>
    <w:p>
      <w:pPr>
        <w:pStyle w:val="Normal"/>
        <w:rPr/>
      </w:pPr>
      <w:r>
        <w:rPr/>
        <w:t>V primární serverovně je jedno centrální diskové úložiště IBM StorWize V5000 se třemi typy disků – NL SAS, SAS a SSD, mezi kterými probíhá automatické tierování datových bloků podle statistiky jejich využití.</w:t>
      </w:r>
    </w:p>
    <w:p>
      <w:pPr>
        <w:pStyle w:val="Normal"/>
        <w:rPr/>
      </w:pPr>
      <w:r>
        <w:rPr/>
        <w:t>V sekundární serverovně je jedno centrální diskové úložiště IBM StorWize V3700 s dvěma typy disků NL SAS a SAS. Rychlé disky jsou dedikovány pro prostředí záložní databáze Oracle, velkokapacitní disky pro virtuální prostředí záložních aplikačních serverů.</w:t>
      </w:r>
    </w:p>
    <w:p>
      <w:pPr>
        <w:pStyle w:val="Normal"/>
        <w:rPr/>
      </w:pPr>
      <w:r>
        <w:rPr/>
        <w:t>Komunikace mezi servery a diskovým úložištěm v rámci lokality probíhá přes Storage Area Network (SAN) o rychlosti 8Gb/s.</w:t>
      </w:r>
    </w:p>
    <w:p>
      <w:pPr>
        <w:pStyle w:val="Nadpis4"/>
        <w:numPr>
          <w:ilvl w:val="3"/>
          <w:numId w:val="2"/>
        </w:numPr>
        <w:rPr/>
      </w:pPr>
      <w:r>
        <w:rPr/>
        <w:t>Virtualizační platforma</w:t>
      </w:r>
    </w:p>
    <w:p>
      <w:pPr>
        <w:pStyle w:val="Normal"/>
        <w:rPr/>
      </w:pPr>
      <w:r>
        <w:rPr/>
        <w:t>Virtualizační cluster VMware vSphere ve verzi 6.7 umožňuje virtualizovat operační systémy na bázi MS Windows i Linux.</w:t>
      </w:r>
    </w:p>
    <w:p>
      <w:pPr>
        <w:pStyle w:val="Nadpis4"/>
        <w:numPr>
          <w:ilvl w:val="3"/>
          <w:numId w:val="2"/>
        </w:numPr>
        <w:rPr/>
      </w:pPr>
      <w:r>
        <w:rPr/>
        <w:t>Zálohování virtuálních serverů</w:t>
      </w:r>
    </w:p>
    <w:p>
      <w:pPr>
        <w:pStyle w:val="Normal"/>
        <w:rPr/>
      </w:pPr>
      <w:r>
        <w:rPr/>
        <w:t xml:space="preserve">Zálohování virtuálních serverů je každý den v noci prováděno systémem Veeam Backup &amp; Replication (aktuálně ve verzi 9.5.4) do záložní lokality. Proces zálohování je postaven na inkrementálních zálohách pomocí snapshotů virtuálních serverů. </w:t>
      </w:r>
    </w:p>
    <w:p>
      <w:pPr>
        <w:pStyle w:val="Normal"/>
        <w:rPr/>
      </w:pPr>
      <w:r>
        <w:rPr/>
        <w:t>Systém Veeam Backup &amp; Replication ukládá zálohy do svého úložiště. V případě potřeby obnovy je pak virtuální server obnoven do cílové lokality. Zálohy je možné provádět také formou replik virtuálních serverů, kdy dojde k jeho klonování přímo do záložní lokality, kde je možné server po síťové rekonfiguraci spustit.</w:t>
      </w:r>
    </w:p>
    <w:p>
      <w:pPr>
        <w:pStyle w:val="Nadpis4"/>
        <w:numPr>
          <w:ilvl w:val="3"/>
          <w:numId w:val="2"/>
        </w:numPr>
        <w:rPr/>
      </w:pPr>
      <w:r>
        <w:rPr/>
        <w:t>Zálohování na pásky</w:t>
      </w:r>
    </w:p>
    <w:p>
      <w:pPr>
        <w:pStyle w:val="Normal"/>
        <w:rPr/>
      </w:pPr>
      <w:r>
        <w:rPr/>
        <w:t>V záložní lokalitě je v provozu pásková knihovna IBM TS3100 se zápisovou mechanikou LTO6, kterou je možno použít pro ukládání a archivaci dat z databáze.</w:t>
      </w:r>
    </w:p>
    <w:p>
      <w:pPr>
        <w:pStyle w:val="Nadpis4"/>
        <w:numPr>
          <w:ilvl w:val="3"/>
          <w:numId w:val="2"/>
        </w:numPr>
        <w:rPr/>
      </w:pPr>
      <w:r>
        <w:rPr/>
        <w:t>Síťová konektivita</w:t>
      </w:r>
    </w:p>
    <w:p>
      <w:pPr>
        <w:pStyle w:val="Normal"/>
        <w:rPr/>
      </w:pPr>
      <w:r>
        <w:rPr/>
        <w:t>Lokality jsou napojeny na páteřní síť CESNET a PASNET 10Gb sítí, na kterou je napojena i LAN ústavu.</w:t>
      </w:r>
    </w:p>
    <w:p>
      <w:pPr>
        <w:pStyle w:val="Normal"/>
        <w:rPr/>
      </w:pPr>
      <w:r>
        <w:rPr/>
        <w:t>Komunikace mezi serverovnami je zabezpečena VPN tunelem.</w:t>
      </w:r>
    </w:p>
    <w:p>
      <w:pPr>
        <w:pStyle w:val="Nadpis4"/>
        <w:numPr>
          <w:ilvl w:val="3"/>
          <w:numId w:val="2"/>
        </w:numPr>
        <w:rPr/>
      </w:pPr>
      <w:r>
        <w:rPr>
          <w:rStyle w:val="Nadpis1Char"/>
          <w:color w:val="auto"/>
          <w:sz w:val="22"/>
          <w:szCs w:val="22"/>
        </w:rPr>
        <w:t>Vymezení služeb administrátorů SSČ</w:t>
      </w:r>
    </w:p>
    <w:p>
      <w:pPr>
        <w:pStyle w:val="Normal"/>
        <w:rPr/>
      </w:pPr>
      <w:r>
        <w:rPr/>
        <w:t>Administrátoři SSČ spravují serverovny, síťové prvky a komunikační zařízení, disková pole, fyzické servery, virtualizační platformu, virtuální servery až po úroveň operačních systémů, zálohování virtuálních serverů prostřednictvím Veeam Backup &amp; Replication.</w:t>
      </w:r>
    </w:p>
    <w:p>
      <w:pPr>
        <w:pStyle w:val="Normal"/>
        <w:rPr/>
      </w:pPr>
      <w:r>
        <w:rPr/>
        <w:t>Administrátoři SSČ nespravují aplikace instalované na serverech, databázovou platformu ani samotná data a způsob jejich zálohování.</w:t>
      </w:r>
    </w:p>
    <w:p>
      <w:pPr>
        <w:pStyle w:val="Nadpis4"/>
        <w:numPr>
          <w:ilvl w:val="3"/>
          <w:numId w:val="2"/>
        </w:numPr>
        <w:rPr/>
      </w:pPr>
      <w:r>
        <w:rPr/>
        <w:t>Klientské stanice</w:t>
      </w:r>
    </w:p>
    <w:p>
      <w:pPr>
        <w:pStyle w:val="Normal"/>
        <w:rPr>
          <w:strike/>
        </w:rPr>
      </w:pPr>
      <w:r>
        <w:rPr>
          <w:strike w:val="false"/>
          <w:dstrike w:val="false"/>
        </w:rPr>
        <w:t>Na klientských stanicích jsou použity převážně Windows 7 (32 a 64-bit), Windows 8 a Windows 10.</w:t>
      </w:r>
    </w:p>
    <w:p>
      <w:pPr>
        <w:pStyle w:val="Normal"/>
        <w:spacing w:lineRule="auto" w:line="252"/>
        <w:jc w:val="both"/>
        <w:rPr>
          <w:strike/>
        </w:rPr>
      </w:pPr>
      <w:r>
        <w:rPr/>
      </w:r>
    </w:p>
    <w:p>
      <w:pPr>
        <w:pStyle w:val="Nadpis2"/>
        <w:numPr>
          <w:ilvl w:val="1"/>
          <w:numId w:val="3"/>
        </w:numPr>
        <w:rPr>
          <w:rStyle w:val="Nadpis2Char"/>
          <w:rFonts w:ascii="Calibri" w:hAnsi="Calibri" w:eastAsia="Calibri" w:cs="Calibri"/>
          <w:strike/>
          <w:color w:val="374C80" w:themeColor="accent1" w:themeShade="bf"/>
          <w:sz w:val="30"/>
          <w:szCs w:val="30"/>
        </w:rPr>
      </w:pPr>
      <w:r>
        <w:rPr/>
        <w:t>C. ServiceDesk systém</w:t>
      </w:r>
    </w:p>
    <w:p>
      <w:pPr>
        <w:pStyle w:val="Normal"/>
        <w:spacing w:before="0" w:after="113"/>
        <w:rPr/>
      </w:pPr>
      <w:r>
        <w:rPr/>
        <w:t>Objednatel využívá pro sledování problémů - hlášení incidentů a zaznamenávání požadavků - ServiceDesk Mantis Bug Tracker (</w:t>
      </w:r>
      <w:bookmarkStart w:id="4" w:name="__DdeLink__1240_2775770739"/>
      <w:r>
        <w:rPr/>
        <w:t>MantisBT</w:t>
      </w:r>
      <w:bookmarkEnd w:id="4"/>
      <w:r>
        <w:rPr/>
        <w:t xml:space="preserve">) a to jak pro 1. úroveň podpory uživatelů zajišťovanou Objednatelem, tak i pro 2. úroveň podpory poskytovanou ze strany Dodavatele. MantisBT je webový systém pro evidenci chyb (bug tracking) s uživatelským rozhraním, které upozorňuje uživatele na aktuální stav různých problému. </w:t>
      </w:r>
    </w:p>
    <w:p>
      <w:pPr>
        <w:pStyle w:val="Normal"/>
        <w:rPr/>
      </w:pPr>
      <w:r>
        <w:rPr/>
        <w:t>Přes ServiceDesk je u incidentu/požadavku sledován(a):</w:t>
      </w:r>
    </w:p>
    <w:p>
      <w:pPr>
        <w:pStyle w:val="Normal"/>
        <w:numPr>
          <w:ilvl w:val="0"/>
          <w:numId w:val="4"/>
        </w:numPr>
        <w:rPr/>
      </w:pPr>
      <w:r>
        <w:rPr/>
        <w:t>priorita (vysoká/normální)</w:t>
      </w:r>
    </w:p>
    <w:p>
      <w:pPr>
        <w:pStyle w:val="Normal"/>
        <w:numPr>
          <w:ilvl w:val="0"/>
          <w:numId w:val="4"/>
        </w:numPr>
        <w:rPr/>
      </w:pPr>
      <w:r>
        <w:rPr/>
        <w:t>subsystém (kterého se incident/požadavek týká)</w:t>
      </w:r>
    </w:p>
    <w:p>
      <w:pPr>
        <w:pStyle w:val="Normal"/>
        <w:numPr>
          <w:ilvl w:val="0"/>
          <w:numId w:val="4"/>
        </w:numPr>
        <w:rPr/>
      </w:pPr>
      <w:r>
        <w:rPr/>
        <w:t>klasifikace (dotaz/požadavek)</w:t>
      </w:r>
    </w:p>
    <w:p>
      <w:pPr>
        <w:pStyle w:val="Normal"/>
        <w:numPr>
          <w:ilvl w:val="0"/>
          <w:numId w:val="4"/>
        </w:numPr>
        <w:rPr/>
      </w:pPr>
      <w:r>
        <w:rPr/>
        <w:t>stav (zadaný/přiřazený/vyřešený)</w:t>
      </w:r>
    </w:p>
    <w:p>
      <w:pPr>
        <w:pStyle w:val="Normal"/>
        <w:numPr>
          <w:ilvl w:val="0"/>
          <w:numId w:val="4"/>
        </w:numPr>
        <w:rPr/>
      </w:pPr>
      <w:r>
        <w:rPr/>
        <w:t>aktualizace (datum a čas poslední aktualizace incidentu/požadavku)</w:t>
      </w:r>
    </w:p>
    <w:p>
      <w:pPr>
        <w:pStyle w:val="Normal"/>
        <w:numPr>
          <w:ilvl w:val="0"/>
          <w:numId w:val="4"/>
        </w:numPr>
        <w:rPr/>
      </w:pPr>
      <w:r>
        <w:rPr/>
        <w:t>datum vložení (datum, kdy byl požadavek do systému vložen)</w:t>
      </w:r>
    </w:p>
    <w:p>
      <w:pPr>
        <w:pStyle w:val="Normal"/>
        <w:numPr>
          <w:ilvl w:val="0"/>
          <w:numId w:val="4"/>
        </w:numPr>
        <w:rPr/>
      </w:pPr>
      <w:r>
        <w:rPr/>
        <w:t>předmět hlášení (stručný popis incidentu/požadavku).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w:t>Dokumentace k aktuální verzi MantisBT je na https://www.mantisbt.org/documentation.php.</w:t>
      </w:r>
    </w:p>
    <w:sectPr>
      <w:headerReference w:type="default" r:id="rId2"/>
      <w:footerReference w:type="default" r:id="rId3"/>
      <w:type w:val="nextPage"/>
      <w:pgSz w:w="11906" w:h="16838"/>
      <w:pgMar w:left="1134" w:right="1134" w:header="1134" w:top="1700" w:footer="1134" w:bottom="1700" w:gutter="0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2"/>
    <w:family w:val="auto"/>
    <w:pitch w:val="variable"/>
  </w:font>
  <w:font w:name="OpenSymbol">
    <w:altName w:val="Arial Unicode MS"/>
    <w:charset w:val="01"/>
    <w:family w:val="auto"/>
    <w:pitch w:val="variable"/>
  </w:font>
  <w:font w:name="Courier New">
    <w:charset w:val="01"/>
    <w:family w:val="auto"/>
    <w:pitch w:val="variable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pat"/>
      <w:jc w:val="center"/>
      <w:rPr/>
    </w:pPr>
    <w:r>
      <w:rPr/>
      <w:t xml:space="preserve">-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4</w:t>
    </w:r>
    <w:r>
      <w:rPr/>
      <w:fldChar w:fldCharType="end"/>
    </w:r>
    <w:r>
      <w:rPr/>
      <w:t xml:space="preserve"> -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Zhlav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Nadpis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Nadpis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Nadpis3"/>
      <w:numFmt w:val="none"/>
      <w:suff w:val="nothing"/>
      <w:lvlText w:val=""/>
      <w:lvlJc w:val="left"/>
      <w:pPr>
        <w:ind w:left="0" w:hanging="0"/>
      </w:pPr>
    </w:lvl>
    <w:lvl w:ilvl="3">
      <w:start w:val="1"/>
      <w:pStyle w:val="Nadpis4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3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5"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rFonts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cs-CZ" w:eastAsia="ja-JP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Cs w:val="24"/>
        <w:lang w:val="cs-CZ" w:eastAsia="zh-CN" w:bidi="hi-IN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overflowPunct w:val="false"/>
      <w:bidi w:val="0"/>
      <w:jc w:val="left"/>
    </w:pPr>
    <w:rPr>
      <w:rFonts w:ascii="Arial" w:hAnsi="Arial" w:eastAsia="SimSun" w:cs="Lucida Sans"/>
      <w:color w:val="auto"/>
      <w:kern w:val="2"/>
      <w:sz w:val="22"/>
      <w:szCs w:val="24"/>
      <w:lang w:val="cs-CZ" w:eastAsia="zh-CN" w:bidi="hi-IN"/>
    </w:rPr>
  </w:style>
  <w:style w:type="paragraph" w:styleId="Nadpis1">
    <w:name w:val="Heading 1"/>
    <w:basedOn w:val="Nadpis"/>
    <w:next w:val="Normal"/>
    <w:qFormat/>
    <w:pPr>
      <w:widowControl w:val="false"/>
      <w:numPr>
        <w:ilvl w:val="0"/>
        <w:numId w:val="1"/>
      </w:numPr>
      <w:outlineLvl w:val="0"/>
    </w:pPr>
    <w:rPr>
      <w:b/>
      <w:sz w:val="32"/>
      <w:szCs w:val="36"/>
    </w:rPr>
  </w:style>
  <w:style w:type="paragraph" w:styleId="Nadpis2">
    <w:name w:val="Heading 2"/>
    <w:basedOn w:val="Nadpis"/>
    <w:next w:val="Normal"/>
    <w:qFormat/>
    <w:pPr>
      <w:widowControl w:val="false"/>
      <w:numPr>
        <w:ilvl w:val="1"/>
        <w:numId w:val="1"/>
      </w:numPr>
      <w:spacing w:before="200" w:after="120"/>
      <w:outlineLvl w:val="1"/>
    </w:pPr>
    <w:rPr>
      <w:b/>
      <w:szCs w:val="32"/>
    </w:rPr>
  </w:style>
  <w:style w:type="paragraph" w:styleId="Nadpis3">
    <w:name w:val="Heading 3"/>
    <w:basedOn w:val="Nadpis"/>
    <w:next w:val="Normal"/>
    <w:qFormat/>
    <w:pPr>
      <w:widowControl w:val="false"/>
      <w:numPr>
        <w:ilvl w:val="2"/>
        <w:numId w:val="1"/>
      </w:numPr>
      <w:spacing w:before="113" w:after="57"/>
      <w:outlineLvl w:val="2"/>
    </w:pPr>
    <w:rPr>
      <w:b/>
      <w:sz w:val="24"/>
    </w:rPr>
  </w:style>
  <w:style w:type="paragraph" w:styleId="Nadpis4">
    <w:name w:val="Heading 4"/>
    <w:basedOn w:val="Nadpis"/>
    <w:next w:val="Normal"/>
    <w:qFormat/>
    <w:pPr>
      <w:widowControl w:val="false"/>
      <w:numPr>
        <w:ilvl w:val="3"/>
        <w:numId w:val="1"/>
      </w:numPr>
      <w:spacing w:before="113" w:after="57"/>
      <w:outlineLvl w:val="3"/>
    </w:pPr>
    <w:rPr>
      <w:b/>
      <w:i/>
      <w:i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Odrky" w:customStyle="1">
    <w:name w:val="Odrážky"/>
    <w:qFormat/>
    <w:rPr>
      <w:rFonts w:ascii="OpenSymbol" w:hAnsi="OpenSymbol" w:eastAsia="OpenSymbol" w:cs="OpenSymbol"/>
    </w:rPr>
  </w:style>
  <w:style w:type="character" w:styleId="ListLabel55" w:customStyle="1">
    <w:name w:val="ListLabel 55"/>
    <w:qFormat/>
    <w:rPr>
      <w:rFonts w:cs="OpenSymbol"/>
    </w:rPr>
  </w:style>
  <w:style w:type="character" w:styleId="ListLabel56" w:customStyle="1">
    <w:name w:val="ListLabel 56"/>
    <w:qFormat/>
    <w:rPr>
      <w:rFonts w:cs="OpenSymbol"/>
    </w:rPr>
  </w:style>
  <w:style w:type="character" w:styleId="ListLabel57" w:customStyle="1">
    <w:name w:val="ListLabel 57"/>
    <w:qFormat/>
    <w:rPr>
      <w:rFonts w:cs="OpenSymbol"/>
    </w:rPr>
  </w:style>
  <w:style w:type="character" w:styleId="ListLabel58" w:customStyle="1">
    <w:name w:val="ListLabel 58"/>
    <w:qFormat/>
    <w:rPr>
      <w:rFonts w:cs="OpenSymbol"/>
    </w:rPr>
  </w:style>
  <w:style w:type="character" w:styleId="ListLabel59" w:customStyle="1">
    <w:name w:val="ListLabel 59"/>
    <w:qFormat/>
    <w:rPr>
      <w:rFonts w:cs="OpenSymbol"/>
    </w:rPr>
  </w:style>
  <w:style w:type="character" w:styleId="ListLabel60" w:customStyle="1">
    <w:name w:val="ListLabel 60"/>
    <w:qFormat/>
    <w:rPr>
      <w:rFonts w:cs="OpenSymbol"/>
    </w:rPr>
  </w:style>
  <w:style w:type="character" w:styleId="ListLabel61" w:customStyle="1">
    <w:name w:val="ListLabel 61"/>
    <w:qFormat/>
    <w:rPr>
      <w:rFonts w:cs="OpenSymbol"/>
    </w:rPr>
  </w:style>
  <w:style w:type="character" w:styleId="ListLabel62" w:customStyle="1">
    <w:name w:val="ListLabel 62"/>
    <w:qFormat/>
    <w:rPr>
      <w:rFonts w:cs="OpenSymbol"/>
    </w:rPr>
  </w:style>
  <w:style w:type="character" w:styleId="ListLabel63" w:customStyle="1">
    <w:name w:val="ListLabel 63"/>
    <w:qFormat/>
    <w:rPr>
      <w:rFonts w:cs="OpenSymbol"/>
    </w:rPr>
  </w:style>
  <w:style w:type="character" w:styleId="ListLabel64" w:customStyle="1">
    <w:name w:val="ListLabel 64"/>
    <w:qFormat/>
    <w:rPr>
      <w:rFonts w:cs="OpenSymbol"/>
    </w:rPr>
  </w:style>
  <w:style w:type="character" w:styleId="ListLabel65" w:customStyle="1">
    <w:name w:val="ListLabel 65"/>
    <w:qFormat/>
    <w:rPr>
      <w:rFonts w:cs="OpenSymbol"/>
    </w:rPr>
  </w:style>
  <w:style w:type="character" w:styleId="ListLabel66" w:customStyle="1">
    <w:name w:val="ListLabel 66"/>
    <w:qFormat/>
    <w:rPr>
      <w:rFonts w:cs="OpenSymbol"/>
    </w:rPr>
  </w:style>
  <w:style w:type="character" w:styleId="ListLabel67" w:customStyle="1">
    <w:name w:val="ListLabel 67"/>
    <w:qFormat/>
    <w:rPr>
      <w:rFonts w:cs="OpenSymbol"/>
    </w:rPr>
  </w:style>
  <w:style w:type="character" w:styleId="ListLabel68" w:customStyle="1">
    <w:name w:val="ListLabel 68"/>
    <w:qFormat/>
    <w:rPr>
      <w:rFonts w:cs="OpenSymbol"/>
    </w:rPr>
  </w:style>
  <w:style w:type="character" w:styleId="ListLabel69" w:customStyle="1">
    <w:name w:val="ListLabel 69"/>
    <w:qFormat/>
    <w:rPr>
      <w:rFonts w:cs="OpenSymbol"/>
    </w:rPr>
  </w:style>
  <w:style w:type="character" w:styleId="ListLabel70" w:customStyle="1">
    <w:name w:val="ListLabel 70"/>
    <w:qFormat/>
    <w:rPr>
      <w:rFonts w:cs="OpenSymbol"/>
    </w:rPr>
  </w:style>
  <w:style w:type="character" w:styleId="ListLabel71" w:customStyle="1">
    <w:name w:val="ListLabel 71"/>
    <w:qFormat/>
    <w:rPr>
      <w:rFonts w:cs="OpenSymbol"/>
    </w:rPr>
  </w:style>
  <w:style w:type="character" w:styleId="ListLabel72" w:customStyle="1">
    <w:name w:val="ListLabel 72"/>
    <w:qFormat/>
    <w:rPr>
      <w:rFonts w:cs="OpenSymbol"/>
    </w:rPr>
  </w:style>
  <w:style w:type="character" w:styleId="ListLabel73" w:customStyle="1">
    <w:name w:val="ListLabel 73"/>
    <w:qFormat/>
    <w:rPr>
      <w:rFonts w:cs="OpenSymbol"/>
    </w:rPr>
  </w:style>
  <w:style w:type="character" w:styleId="ListLabel74" w:customStyle="1">
    <w:name w:val="ListLabel 74"/>
    <w:qFormat/>
    <w:rPr>
      <w:rFonts w:cs="OpenSymbol"/>
    </w:rPr>
  </w:style>
  <w:style w:type="character" w:styleId="ListLabel75" w:customStyle="1">
    <w:name w:val="ListLabel 75"/>
    <w:qFormat/>
    <w:rPr>
      <w:rFonts w:cs="OpenSymbol"/>
    </w:rPr>
  </w:style>
  <w:style w:type="character" w:styleId="ListLabel76" w:customStyle="1">
    <w:name w:val="ListLabel 76"/>
    <w:qFormat/>
    <w:rPr>
      <w:rFonts w:cs="OpenSymbol"/>
    </w:rPr>
  </w:style>
  <w:style w:type="character" w:styleId="ListLabel77" w:customStyle="1">
    <w:name w:val="ListLabel 77"/>
    <w:qFormat/>
    <w:rPr>
      <w:rFonts w:cs="OpenSymbol"/>
    </w:rPr>
  </w:style>
  <w:style w:type="character" w:styleId="ListLabel78" w:customStyle="1">
    <w:name w:val="ListLabel 78"/>
    <w:qFormat/>
    <w:rPr>
      <w:rFonts w:cs="OpenSymbol"/>
    </w:rPr>
  </w:style>
  <w:style w:type="character" w:styleId="ListLabel79" w:customStyle="1">
    <w:name w:val="ListLabel 79"/>
    <w:qFormat/>
    <w:rPr>
      <w:rFonts w:cs="OpenSymbol"/>
    </w:rPr>
  </w:style>
  <w:style w:type="character" w:styleId="ListLabel80" w:customStyle="1">
    <w:name w:val="ListLabel 80"/>
    <w:qFormat/>
    <w:rPr>
      <w:rFonts w:cs="OpenSymbol"/>
    </w:rPr>
  </w:style>
  <w:style w:type="character" w:styleId="ListLabel81" w:customStyle="1">
    <w:name w:val="ListLabel 81"/>
    <w:qFormat/>
    <w:rPr>
      <w:rFonts w:cs="OpenSymbol"/>
    </w:rPr>
  </w:style>
  <w:style w:type="character" w:styleId="ListLabel82" w:customStyle="1">
    <w:name w:val="ListLabel 82"/>
    <w:qFormat/>
    <w:rPr>
      <w:rFonts w:cs="OpenSymbol"/>
    </w:rPr>
  </w:style>
  <w:style w:type="character" w:styleId="ListLabel83" w:customStyle="1">
    <w:name w:val="ListLabel 83"/>
    <w:qFormat/>
    <w:rPr>
      <w:rFonts w:cs="OpenSymbol"/>
    </w:rPr>
  </w:style>
  <w:style w:type="character" w:styleId="ListLabel84" w:customStyle="1">
    <w:name w:val="ListLabel 84"/>
    <w:qFormat/>
    <w:rPr>
      <w:rFonts w:cs="OpenSymbol"/>
    </w:rPr>
  </w:style>
  <w:style w:type="character" w:styleId="ListLabel85" w:customStyle="1">
    <w:name w:val="ListLabel 85"/>
    <w:qFormat/>
    <w:rPr>
      <w:rFonts w:cs="OpenSymbol"/>
    </w:rPr>
  </w:style>
  <w:style w:type="character" w:styleId="ListLabel86" w:customStyle="1">
    <w:name w:val="ListLabel 86"/>
    <w:qFormat/>
    <w:rPr>
      <w:rFonts w:cs="OpenSymbol"/>
    </w:rPr>
  </w:style>
  <w:style w:type="character" w:styleId="ListLabel87" w:customStyle="1">
    <w:name w:val="ListLabel 87"/>
    <w:qFormat/>
    <w:rPr>
      <w:rFonts w:cs="OpenSymbol"/>
    </w:rPr>
  </w:style>
  <w:style w:type="character" w:styleId="ListLabel88" w:customStyle="1">
    <w:name w:val="ListLabel 88"/>
    <w:qFormat/>
    <w:rPr>
      <w:rFonts w:cs="OpenSymbol"/>
    </w:rPr>
  </w:style>
  <w:style w:type="character" w:styleId="ListLabel89" w:customStyle="1">
    <w:name w:val="ListLabel 89"/>
    <w:qFormat/>
    <w:rPr>
      <w:rFonts w:cs="OpenSymbol"/>
    </w:rPr>
  </w:style>
  <w:style w:type="character" w:styleId="ListLabel90" w:customStyle="1">
    <w:name w:val="ListLabel 90"/>
    <w:qFormat/>
    <w:rPr>
      <w:rFonts w:cs="OpenSymbol"/>
    </w:rPr>
  </w:style>
  <w:style w:type="character" w:styleId="ListLabel91" w:customStyle="1">
    <w:name w:val="ListLabel 91"/>
    <w:qFormat/>
    <w:rPr>
      <w:rFonts w:cs="OpenSymbol"/>
    </w:rPr>
  </w:style>
  <w:style w:type="character" w:styleId="ListLabel92" w:customStyle="1">
    <w:name w:val="ListLabel 92"/>
    <w:qFormat/>
    <w:rPr>
      <w:rFonts w:cs="OpenSymbol"/>
    </w:rPr>
  </w:style>
  <w:style w:type="character" w:styleId="ListLabel93" w:customStyle="1">
    <w:name w:val="ListLabel 93"/>
    <w:qFormat/>
    <w:rPr>
      <w:rFonts w:cs="OpenSymbol"/>
    </w:rPr>
  </w:style>
  <w:style w:type="character" w:styleId="ListLabel94" w:customStyle="1">
    <w:name w:val="ListLabel 94"/>
    <w:qFormat/>
    <w:rPr>
      <w:rFonts w:cs="OpenSymbol"/>
    </w:rPr>
  </w:style>
  <w:style w:type="character" w:styleId="ListLabel95" w:customStyle="1">
    <w:name w:val="ListLabel 95"/>
    <w:qFormat/>
    <w:rPr>
      <w:rFonts w:cs="OpenSymbol"/>
    </w:rPr>
  </w:style>
  <w:style w:type="character" w:styleId="ListLabel96" w:customStyle="1">
    <w:name w:val="ListLabel 96"/>
    <w:qFormat/>
    <w:rPr>
      <w:rFonts w:cs="OpenSymbol"/>
    </w:rPr>
  </w:style>
  <w:style w:type="character" w:styleId="ListLabel97" w:customStyle="1">
    <w:name w:val="ListLabel 97"/>
    <w:qFormat/>
    <w:rPr>
      <w:rFonts w:cs="OpenSymbol"/>
    </w:rPr>
  </w:style>
  <w:style w:type="character" w:styleId="ListLabel98" w:customStyle="1">
    <w:name w:val="ListLabel 98"/>
    <w:qFormat/>
    <w:rPr>
      <w:rFonts w:cs="OpenSymbol"/>
    </w:rPr>
  </w:style>
  <w:style w:type="character" w:styleId="ListLabel99" w:customStyle="1">
    <w:name w:val="ListLabel 99"/>
    <w:qFormat/>
    <w:rPr>
      <w:rFonts w:cs="OpenSymbol"/>
    </w:rPr>
  </w:style>
  <w:style w:type="character" w:styleId="ListLabel100" w:customStyle="1">
    <w:name w:val="ListLabel 100"/>
    <w:qFormat/>
    <w:rPr>
      <w:rFonts w:cs="OpenSymbol"/>
    </w:rPr>
  </w:style>
  <w:style w:type="character" w:styleId="ListLabel101" w:customStyle="1">
    <w:name w:val="ListLabel 101"/>
    <w:qFormat/>
    <w:rPr>
      <w:rFonts w:cs="OpenSymbol"/>
    </w:rPr>
  </w:style>
  <w:style w:type="character" w:styleId="ListLabel102" w:customStyle="1">
    <w:name w:val="ListLabel 102"/>
    <w:qFormat/>
    <w:rPr>
      <w:rFonts w:cs="OpenSymbol"/>
    </w:rPr>
  </w:style>
  <w:style w:type="character" w:styleId="ListLabel103" w:customStyle="1">
    <w:name w:val="ListLabel 103"/>
    <w:qFormat/>
    <w:rPr>
      <w:rFonts w:cs="OpenSymbol"/>
    </w:rPr>
  </w:style>
  <w:style w:type="character" w:styleId="ListLabel104" w:customStyle="1">
    <w:name w:val="ListLabel 104"/>
    <w:qFormat/>
    <w:rPr>
      <w:rFonts w:cs="OpenSymbol"/>
    </w:rPr>
  </w:style>
  <w:style w:type="character" w:styleId="ListLabel105" w:customStyle="1">
    <w:name w:val="ListLabel 105"/>
    <w:qFormat/>
    <w:rPr>
      <w:rFonts w:cs="OpenSymbol"/>
    </w:rPr>
  </w:style>
  <w:style w:type="character" w:styleId="ListLabel106" w:customStyle="1">
    <w:name w:val="ListLabel 106"/>
    <w:qFormat/>
    <w:rPr>
      <w:rFonts w:cs="OpenSymbol"/>
    </w:rPr>
  </w:style>
  <w:style w:type="character" w:styleId="ListLabel107" w:customStyle="1">
    <w:name w:val="ListLabel 107"/>
    <w:qFormat/>
    <w:rPr>
      <w:rFonts w:cs="OpenSymbol"/>
    </w:rPr>
  </w:style>
  <w:style w:type="character" w:styleId="ListLabel108" w:customStyle="1">
    <w:name w:val="ListLabel 108"/>
    <w:qFormat/>
    <w:rPr>
      <w:rFonts w:cs="OpenSymbol"/>
    </w:rPr>
  </w:style>
  <w:style w:type="character" w:styleId="ListLabel109">
    <w:name w:val="ListLabel 109"/>
    <w:qFormat/>
    <w:rPr>
      <w:rFonts w:cs="OpenSymbol"/>
    </w:rPr>
  </w:style>
  <w:style w:type="character" w:styleId="ListLabel110">
    <w:name w:val="ListLabel 110"/>
    <w:qFormat/>
    <w:rPr>
      <w:rFonts w:cs="OpenSymbol"/>
    </w:rPr>
  </w:style>
  <w:style w:type="character" w:styleId="ListLabel111">
    <w:name w:val="ListLabel 111"/>
    <w:qFormat/>
    <w:rPr>
      <w:rFonts w:cs="OpenSymbol"/>
    </w:rPr>
  </w:style>
  <w:style w:type="character" w:styleId="ListLabel112">
    <w:name w:val="ListLabel 112"/>
    <w:qFormat/>
    <w:rPr>
      <w:rFonts w:cs="OpenSymbol"/>
    </w:rPr>
  </w:style>
  <w:style w:type="character" w:styleId="ListLabel113">
    <w:name w:val="ListLabel 113"/>
    <w:qFormat/>
    <w:rPr>
      <w:rFonts w:cs="OpenSymbol"/>
    </w:rPr>
  </w:style>
  <w:style w:type="character" w:styleId="ListLabel114">
    <w:name w:val="ListLabel 114"/>
    <w:qFormat/>
    <w:rPr>
      <w:rFonts w:cs="OpenSymbol"/>
    </w:rPr>
  </w:style>
  <w:style w:type="character" w:styleId="ListLabel115">
    <w:name w:val="ListLabel 115"/>
    <w:qFormat/>
    <w:rPr>
      <w:rFonts w:cs="OpenSymbol"/>
    </w:rPr>
  </w:style>
  <w:style w:type="character" w:styleId="ListLabel116">
    <w:name w:val="ListLabel 116"/>
    <w:qFormat/>
    <w:rPr>
      <w:rFonts w:cs="OpenSymbol"/>
    </w:rPr>
  </w:style>
  <w:style w:type="character" w:styleId="ListLabel117">
    <w:name w:val="ListLabel 117"/>
    <w:qFormat/>
    <w:rPr>
      <w:rFonts w:cs="OpenSymbol"/>
    </w:rPr>
  </w:style>
  <w:style w:type="character" w:styleId="ListLabel1">
    <w:name w:val="ListLabel 1"/>
    <w:qFormat/>
    <w:rPr>
      <w:rFonts w:cs="Courier New"/>
    </w:rPr>
  </w:style>
  <w:style w:type="character" w:styleId="ListLabel2">
    <w:name w:val="ListLabel 2"/>
    <w:qFormat/>
    <w:rPr>
      <w:rFonts w:cs="Courier New"/>
    </w:rPr>
  </w:style>
  <w:style w:type="character" w:styleId="ListLabel3">
    <w:name w:val="ListLabel 3"/>
    <w:qFormat/>
    <w:rPr>
      <w:rFonts w:cs="Courier New"/>
    </w:rPr>
  </w:style>
  <w:style w:type="character" w:styleId="Nadpis1Char">
    <w:name w:val="Nadpis 1 Char"/>
    <w:basedOn w:val="DefaultParagraphFont"/>
    <w:qFormat/>
    <w:rPr>
      <w:rFonts w:ascii="Calibri" w:hAnsi="Calibri" w:eastAsia="ＭＳ ゴシック" w:cs="" w:asciiTheme="majorHAnsi" w:cstheme="majorBidi" w:eastAsiaTheme="majorEastAsia" w:hAnsiTheme="majorHAnsi"/>
      <w:color w:val="374C80" w:themeColor="accent1" w:themeShade="bf"/>
      <w:sz w:val="30"/>
      <w:szCs w:val="30"/>
    </w:rPr>
  </w:style>
  <w:style w:type="character" w:styleId="Nadpis2Char">
    <w:name w:val="Nadpis 2 Char"/>
    <w:basedOn w:val="DefaultParagraphFont"/>
    <w:qFormat/>
    <w:rPr>
      <w:rFonts w:ascii="Calibri" w:hAnsi="Calibri" w:eastAsia="ＭＳ ゴシック" w:cs="" w:asciiTheme="majorHAnsi" w:cstheme="majorBidi" w:eastAsiaTheme="majorEastAsia" w:hAnsiTheme="majorHAnsi"/>
      <w:color w:val="3476B1" w:themeColor="accent2" w:themeShade="bf"/>
      <w:sz w:val="28"/>
      <w:szCs w:val="28"/>
    </w:rPr>
  </w:style>
  <w:style w:type="character" w:styleId="ListLabel118">
    <w:name w:val="ListLabel 118"/>
    <w:qFormat/>
    <w:rPr>
      <w:rFonts w:cs="OpenSymbol"/>
    </w:rPr>
  </w:style>
  <w:style w:type="character" w:styleId="ListLabel119">
    <w:name w:val="ListLabel 119"/>
    <w:qFormat/>
    <w:rPr>
      <w:rFonts w:cs="OpenSymbol"/>
    </w:rPr>
  </w:style>
  <w:style w:type="character" w:styleId="ListLabel120">
    <w:name w:val="ListLabel 120"/>
    <w:qFormat/>
    <w:rPr>
      <w:rFonts w:cs="OpenSymbol"/>
    </w:rPr>
  </w:style>
  <w:style w:type="character" w:styleId="ListLabel121">
    <w:name w:val="ListLabel 121"/>
    <w:qFormat/>
    <w:rPr>
      <w:rFonts w:cs="OpenSymbol"/>
    </w:rPr>
  </w:style>
  <w:style w:type="character" w:styleId="ListLabel122">
    <w:name w:val="ListLabel 122"/>
    <w:qFormat/>
    <w:rPr>
      <w:rFonts w:cs="OpenSymbol"/>
    </w:rPr>
  </w:style>
  <w:style w:type="character" w:styleId="ListLabel123">
    <w:name w:val="ListLabel 123"/>
    <w:qFormat/>
    <w:rPr>
      <w:rFonts w:cs="OpenSymbol"/>
    </w:rPr>
  </w:style>
  <w:style w:type="character" w:styleId="ListLabel124">
    <w:name w:val="ListLabel 124"/>
    <w:qFormat/>
    <w:rPr>
      <w:rFonts w:cs="OpenSymbol"/>
    </w:rPr>
  </w:style>
  <w:style w:type="character" w:styleId="ListLabel125">
    <w:name w:val="ListLabel 125"/>
    <w:qFormat/>
    <w:rPr>
      <w:rFonts w:cs="OpenSymbol"/>
    </w:rPr>
  </w:style>
  <w:style w:type="character" w:styleId="ListLabel126">
    <w:name w:val="ListLabel 126"/>
    <w:qFormat/>
    <w:rPr>
      <w:rFonts w:cs="OpenSymbol"/>
    </w:rPr>
  </w:style>
  <w:style w:type="character" w:styleId="ListLabel127">
    <w:name w:val="ListLabel 127"/>
    <w:qFormat/>
    <w:rPr>
      <w:rFonts w:cs="Symbol"/>
    </w:rPr>
  </w:style>
  <w:style w:type="character" w:styleId="ListLabel128">
    <w:name w:val="ListLabel 128"/>
    <w:qFormat/>
    <w:rPr>
      <w:rFonts w:cs="Courier New"/>
    </w:rPr>
  </w:style>
  <w:style w:type="character" w:styleId="ListLabel129">
    <w:name w:val="ListLabel 129"/>
    <w:qFormat/>
    <w:rPr>
      <w:rFonts w:cs="Wingdings"/>
    </w:rPr>
  </w:style>
  <w:style w:type="character" w:styleId="ListLabel130">
    <w:name w:val="ListLabel 130"/>
    <w:qFormat/>
    <w:rPr>
      <w:rFonts w:cs="Symbol"/>
    </w:rPr>
  </w:style>
  <w:style w:type="character" w:styleId="ListLabel131">
    <w:name w:val="ListLabel 131"/>
    <w:qFormat/>
    <w:rPr>
      <w:rFonts w:cs="Courier New"/>
    </w:rPr>
  </w:style>
  <w:style w:type="character" w:styleId="ListLabel132">
    <w:name w:val="ListLabel 132"/>
    <w:qFormat/>
    <w:rPr>
      <w:rFonts w:cs="Wingdings"/>
    </w:rPr>
  </w:style>
  <w:style w:type="character" w:styleId="ListLabel133">
    <w:name w:val="ListLabel 133"/>
    <w:qFormat/>
    <w:rPr>
      <w:rFonts w:cs="Symbol"/>
    </w:rPr>
  </w:style>
  <w:style w:type="character" w:styleId="ListLabel134">
    <w:name w:val="ListLabel 134"/>
    <w:qFormat/>
    <w:rPr>
      <w:rFonts w:cs="Courier New"/>
    </w:rPr>
  </w:style>
  <w:style w:type="character" w:styleId="ListLabel135">
    <w:name w:val="ListLabel 135"/>
    <w:qFormat/>
    <w:rPr>
      <w:rFonts w:cs="Wingdings"/>
    </w:rPr>
  </w:style>
  <w:style w:type="paragraph" w:styleId="Nadpis" w:customStyle="1">
    <w:name w:val="Nadpis"/>
    <w:basedOn w:val="Normal"/>
    <w:next w:val="Tlotextu"/>
    <w:qFormat/>
    <w:pPr>
      <w:keepNext w:val="true"/>
      <w:spacing w:before="240" w:after="120"/>
    </w:pPr>
    <w:rPr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/>
  </w:style>
  <w:style w:type="paragraph" w:styleId="Popisek">
    <w:name w:val="Caption"/>
    <w:basedOn w:val="Normal"/>
    <w:qFormat/>
    <w:pPr>
      <w:suppressLineNumbers/>
      <w:spacing w:before="120" w:after="120"/>
    </w:pPr>
    <w:rPr>
      <w:rFonts w:ascii="Arial" w:hAnsi="Arial" w:cs="Lucida Sans"/>
      <w:i/>
      <w:iCs/>
      <w:sz w:val="20"/>
      <w:szCs w:val="24"/>
    </w:rPr>
  </w:style>
  <w:style w:type="paragraph" w:styleId="Rejstk" w:customStyle="1">
    <w:name w:val="Rejstřík"/>
    <w:basedOn w:val="Normal"/>
    <w:qFormat/>
    <w:pPr>
      <w:suppressLineNumbers/>
    </w:pPr>
    <w:rPr>
      <w:sz w:val="20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0"/>
    </w:rPr>
  </w:style>
  <w:style w:type="paragraph" w:styleId="DocumentMap" w:customStyle="1">
    <w:name w:val="DocumentMap"/>
    <w:qFormat/>
    <w:pPr>
      <w:widowControl/>
      <w:overflowPunct w:val="false"/>
      <w:bidi w:val="0"/>
      <w:spacing w:lineRule="auto" w:line="252" w:before="0" w:after="160"/>
      <w:jc w:val="left"/>
    </w:pPr>
    <w:rPr>
      <w:rFonts w:ascii="Calibri" w:hAnsi="Calibri" w:eastAsia="Calibri" w:cs="Times New Roman"/>
      <w:color w:val="auto"/>
      <w:kern w:val="2"/>
      <w:sz w:val="22"/>
      <w:szCs w:val="22"/>
      <w:lang w:val="cs-CZ" w:eastAsia="en-US" w:bidi="cs-CZ"/>
    </w:rPr>
  </w:style>
  <w:style w:type="paragraph" w:styleId="Prosttabulka11" w:customStyle="1">
    <w:name w:val="Prost‡ tabulka 11"/>
    <w:basedOn w:val="DocumentMap"/>
    <w:qFormat/>
    <w:pPr/>
    <w:rPr/>
  </w:style>
  <w:style w:type="paragraph" w:styleId="Obsahtabulky" w:customStyle="1">
    <w:name w:val="Obsah tabulky"/>
    <w:basedOn w:val="Normal"/>
    <w:qFormat/>
    <w:pPr>
      <w:suppressLineNumbers/>
    </w:pPr>
    <w:rPr/>
  </w:style>
  <w:style w:type="paragraph" w:styleId="Zhlav">
    <w:name w:val="Head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Zpat">
    <w:name w:val="Footer"/>
    <w:basedOn w:val="Normal"/>
    <w:pPr>
      <w:suppressLineNumbers/>
      <w:tabs>
        <w:tab w:val="clear" w:pos="720"/>
        <w:tab w:val="center" w:pos="4819" w:leader="none"/>
        <w:tab w:val="right" w:pos="9638" w:leader="none"/>
      </w:tabs>
    </w:pPr>
    <w:rPr/>
  </w:style>
  <w:style w:type="paragraph" w:styleId="ListParagraph">
    <w:name w:val="List Paragraph"/>
    <w:basedOn w:val="Normal"/>
    <w:qFormat/>
    <w:pPr>
      <w:spacing w:before="12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Application>LibreOffice/6.2.2.2$MacOSX_X86_64 LibreOffice_project/2b840030fec2aae0fd2658d8d4f9548af4e3518d</Application>
  <Pages>4</Pages>
  <Words>1314</Words>
  <Characters>8764</Characters>
  <CharactersWithSpaces>9976</CharactersWithSpaces>
  <Paragraphs>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2018-12-21T11:41:00Z</dcterms:created>
  <dc:creator>Vladimír Levandovský</dc:creator>
  <dc:description/>
  <dc:language>cs-CZ</dc:language>
  <cp:lastModifiedBy/>
  <dcterms:modified xsi:type="dcterms:W3CDTF">2019-06-26T16:09:32Z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